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67E3" w14:textId="5EFF627C" w:rsidR="006E4EB0" w:rsidRDefault="006E4EB0" w:rsidP="006E4EB0">
      <w:pPr>
        <w:pStyle w:val="NormalWeb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067214CE" wp14:editId="2405E2B9">
            <wp:extent cx="2514600" cy="9779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1126B" w14:textId="0E6FA2EF" w:rsidR="000F4702" w:rsidRPr="00CC2BB1" w:rsidRDefault="00A16A61" w:rsidP="006E4EB0">
      <w:pPr>
        <w:pStyle w:val="NormalWeb"/>
        <w:jc w:val="center"/>
        <w:rPr>
          <w:rFonts w:ascii="Calibri" w:hAnsi="Calibri" w:cs="Calibri"/>
          <w:b/>
          <w:bCs/>
        </w:rPr>
      </w:pPr>
      <w:r w:rsidRPr="00CC2BB1">
        <w:rPr>
          <w:rFonts w:ascii="Calibri" w:hAnsi="Calibri" w:cs="Calibri"/>
          <w:b/>
          <w:bCs/>
        </w:rPr>
        <w:t>Penn Medical Communication Research Institute Pilot Award Program</w:t>
      </w:r>
    </w:p>
    <w:p w14:paraId="3011F360" w14:textId="4FCFB9A4" w:rsidR="00A16A61" w:rsidRPr="00CC2BB1" w:rsidRDefault="000F4702" w:rsidP="00B06407">
      <w:pPr>
        <w:pStyle w:val="NormalWeb"/>
        <w:rPr>
          <w:rFonts w:ascii="Calibri" w:hAnsi="Calibri" w:cs="Calibri"/>
        </w:rPr>
      </w:pPr>
      <w:r w:rsidRPr="00CC2BB1">
        <w:rPr>
          <w:rFonts w:ascii="Calibri" w:hAnsi="Calibri" w:cs="Calibri"/>
        </w:rPr>
        <w:t xml:space="preserve">The </w:t>
      </w:r>
      <w:r w:rsidR="00A16A61" w:rsidRPr="00CC2BB1">
        <w:rPr>
          <w:rFonts w:ascii="Calibri" w:hAnsi="Calibri" w:cs="Calibri"/>
        </w:rPr>
        <w:t xml:space="preserve">Penn Medical Communication Research Institute will fund up to </w:t>
      </w:r>
      <w:r w:rsidR="00131184" w:rsidRPr="00CC2BB1">
        <w:rPr>
          <w:rFonts w:ascii="Calibri" w:hAnsi="Calibri" w:cs="Calibri"/>
        </w:rPr>
        <w:t>three</w:t>
      </w:r>
      <w:r w:rsidR="00A16A61" w:rsidRPr="00CC2BB1">
        <w:rPr>
          <w:rFonts w:ascii="Calibri" w:hAnsi="Calibri" w:cs="Calibri"/>
        </w:rPr>
        <w:t xml:space="preserve"> (</w:t>
      </w:r>
      <w:r w:rsidR="00131184" w:rsidRPr="00CC2BB1">
        <w:rPr>
          <w:rFonts w:ascii="Calibri" w:hAnsi="Calibri" w:cs="Calibri"/>
        </w:rPr>
        <w:t>3</w:t>
      </w:r>
      <w:r w:rsidR="00A16A61" w:rsidRPr="00CC2BB1">
        <w:rPr>
          <w:rFonts w:ascii="Calibri" w:hAnsi="Calibri" w:cs="Calibri"/>
        </w:rPr>
        <w:t>) one-year multidisciplinary pilot grants</w:t>
      </w:r>
      <w:r w:rsidR="006F7582" w:rsidRPr="00CC2BB1">
        <w:rPr>
          <w:rFonts w:ascii="Calibri" w:hAnsi="Calibri" w:cs="Calibri"/>
        </w:rPr>
        <w:t xml:space="preserve"> of $50,000 each</w:t>
      </w:r>
      <w:r w:rsidR="00A16A61" w:rsidRPr="00CC2BB1">
        <w:rPr>
          <w:rFonts w:ascii="Calibri" w:hAnsi="Calibri" w:cs="Calibri"/>
        </w:rPr>
        <w:t xml:space="preserve">. Proposals must center on communication of medical information, with priority </w:t>
      </w:r>
      <w:r w:rsidR="00082403" w:rsidRPr="00CC2BB1">
        <w:rPr>
          <w:rFonts w:ascii="Calibri" w:hAnsi="Calibri" w:cs="Calibri"/>
        </w:rPr>
        <w:t>given to</w:t>
      </w:r>
      <w:r w:rsidR="00A16A61" w:rsidRPr="00CC2BB1">
        <w:rPr>
          <w:rFonts w:ascii="Calibri" w:hAnsi="Calibri" w:cs="Calibri"/>
        </w:rPr>
        <w:t xml:space="preserve"> studies </w:t>
      </w:r>
      <w:r w:rsidR="00082403" w:rsidRPr="00CC2BB1">
        <w:rPr>
          <w:rFonts w:ascii="Calibri" w:hAnsi="Calibri" w:cs="Calibri"/>
        </w:rPr>
        <w:t>with experimental designs</w:t>
      </w:r>
      <w:r w:rsidR="00A16A61" w:rsidRPr="00CC2BB1">
        <w:rPr>
          <w:rFonts w:ascii="Calibri" w:hAnsi="Calibri" w:cs="Calibri"/>
        </w:rPr>
        <w:t>.</w:t>
      </w:r>
      <w:r w:rsidR="00B06407" w:rsidRPr="00CC2BB1">
        <w:rPr>
          <w:rFonts w:ascii="Calibri" w:hAnsi="Calibri" w:cs="Calibri"/>
        </w:rPr>
        <w:t xml:space="preserve"> Each proposal must have at least two </w:t>
      </w:r>
      <w:r w:rsidR="006F7582" w:rsidRPr="00CC2BB1">
        <w:rPr>
          <w:rFonts w:ascii="Calibri" w:hAnsi="Calibri" w:cs="Calibri"/>
        </w:rPr>
        <w:t xml:space="preserve">faculty </w:t>
      </w:r>
      <w:r w:rsidR="00B06407" w:rsidRPr="00CC2BB1">
        <w:rPr>
          <w:rFonts w:ascii="Calibri" w:hAnsi="Calibri" w:cs="Calibri"/>
        </w:rPr>
        <w:t xml:space="preserve">Co‐Principal Investigators from different disciplines within the University of Pennsylvania. </w:t>
      </w:r>
      <w:r w:rsidR="006F7582" w:rsidRPr="00CC2BB1">
        <w:rPr>
          <w:rFonts w:ascii="Calibri" w:hAnsi="Calibri" w:cs="Calibri"/>
        </w:rPr>
        <w:t xml:space="preserve">Instructors are eligible to apply. </w:t>
      </w:r>
      <w:r w:rsidR="00B06407" w:rsidRPr="00CC2BB1">
        <w:rPr>
          <w:rFonts w:ascii="Calibri" w:hAnsi="Calibri" w:cs="Calibri"/>
        </w:rPr>
        <w:t>Novel collaborative applications between faculty located in distinct schools in Penn are encouraged.</w:t>
      </w:r>
    </w:p>
    <w:p w14:paraId="793E6254" w14:textId="1D3C55CF" w:rsidR="000F4702" w:rsidRPr="00CC2BB1" w:rsidRDefault="00B06407" w:rsidP="000F4702">
      <w:pPr>
        <w:rPr>
          <w:sz w:val="24"/>
          <w:szCs w:val="24"/>
        </w:rPr>
      </w:pPr>
      <w:r w:rsidRPr="00CC2BB1">
        <w:rPr>
          <w:sz w:val="24"/>
          <w:szCs w:val="24"/>
        </w:rPr>
        <w:t>Potential topics include, but are not limited to, the following:</w:t>
      </w:r>
    </w:p>
    <w:p w14:paraId="1A0FEA24" w14:textId="0074E40F" w:rsidR="00B06407" w:rsidRPr="00CC2BB1" w:rsidRDefault="00B06407" w:rsidP="0095333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C2BB1">
        <w:rPr>
          <w:sz w:val="24"/>
          <w:szCs w:val="24"/>
        </w:rPr>
        <w:t xml:space="preserve">The flow of scientific information through medical journals. </w:t>
      </w:r>
    </w:p>
    <w:p w14:paraId="6F962FAE" w14:textId="77777777" w:rsidR="00B06407" w:rsidRPr="00CC2BB1" w:rsidRDefault="00B06407" w:rsidP="0095333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720"/>
        <w:rPr>
          <w:sz w:val="24"/>
          <w:szCs w:val="24"/>
        </w:rPr>
      </w:pPr>
      <w:r w:rsidRPr="00CC2BB1">
        <w:rPr>
          <w:sz w:val="24"/>
          <w:szCs w:val="24"/>
        </w:rPr>
        <w:t>The impact of preprint servers and dissemination of non-peer reviewed information on patient care</w:t>
      </w:r>
    </w:p>
    <w:p w14:paraId="6FB026C9" w14:textId="77777777" w:rsidR="00B06407" w:rsidRPr="00CC2BB1" w:rsidRDefault="00B06407" w:rsidP="0095333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720"/>
        <w:rPr>
          <w:sz w:val="24"/>
          <w:szCs w:val="24"/>
        </w:rPr>
      </w:pPr>
      <w:r w:rsidRPr="00CC2BB1">
        <w:rPr>
          <w:sz w:val="24"/>
          <w:szCs w:val="24"/>
        </w:rPr>
        <w:t>How to improve public trust in the scientific process</w:t>
      </w:r>
    </w:p>
    <w:p w14:paraId="53CCE188" w14:textId="77777777" w:rsidR="00B06407" w:rsidRPr="00CC2BB1" w:rsidRDefault="00B06407" w:rsidP="00953330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440"/>
        <w:rPr>
          <w:sz w:val="24"/>
          <w:szCs w:val="24"/>
        </w:rPr>
      </w:pPr>
      <w:r w:rsidRPr="00CC2BB1">
        <w:rPr>
          <w:sz w:val="24"/>
          <w:szCs w:val="24"/>
        </w:rPr>
        <w:t xml:space="preserve">Communication of errors and retractions </w:t>
      </w:r>
    </w:p>
    <w:p w14:paraId="75F509A0" w14:textId="1D1A6466" w:rsidR="00B06407" w:rsidRPr="00CC2BB1" w:rsidRDefault="00B06407" w:rsidP="00953330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440"/>
        <w:rPr>
          <w:sz w:val="24"/>
          <w:szCs w:val="24"/>
        </w:rPr>
      </w:pPr>
      <w:r w:rsidRPr="00CC2BB1">
        <w:rPr>
          <w:sz w:val="24"/>
          <w:szCs w:val="24"/>
        </w:rPr>
        <w:t>Norms of self-correction</w:t>
      </w:r>
      <w:r w:rsidR="00953330" w:rsidRPr="00CC2BB1">
        <w:rPr>
          <w:sz w:val="24"/>
          <w:szCs w:val="24"/>
        </w:rPr>
        <w:t xml:space="preserve"> and</w:t>
      </w:r>
      <w:r w:rsidRPr="00CC2BB1">
        <w:rPr>
          <w:sz w:val="24"/>
          <w:szCs w:val="24"/>
        </w:rPr>
        <w:t xml:space="preserve"> the value of replication and transparency</w:t>
      </w:r>
    </w:p>
    <w:p w14:paraId="547F3C8E" w14:textId="77777777" w:rsidR="00B06407" w:rsidRPr="00CC2BB1" w:rsidRDefault="00B06407" w:rsidP="0095333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720"/>
        <w:rPr>
          <w:sz w:val="24"/>
          <w:szCs w:val="24"/>
        </w:rPr>
      </w:pPr>
      <w:r w:rsidRPr="00CC2BB1">
        <w:rPr>
          <w:sz w:val="24"/>
          <w:szCs w:val="24"/>
        </w:rPr>
        <w:t xml:space="preserve">How to reduce deception and bias in reporting </w:t>
      </w:r>
    </w:p>
    <w:p w14:paraId="0D0C0EB0" w14:textId="77777777" w:rsidR="00953330" w:rsidRPr="00CC2BB1" w:rsidRDefault="00B06407" w:rsidP="0095333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720"/>
        <w:rPr>
          <w:sz w:val="24"/>
          <w:szCs w:val="24"/>
        </w:rPr>
      </w:pPr>
      <w:r w:rsidRPr="00CC2BB1">
        <w:rPr>
          <w:sz w:val="24"/>
          <w:szCs w:val="24"/>
        </w:rPr>
        <w:t>How to optimize the use of technology to provide content to medical providers</w:t>
      </w:r>
    </w:p>
    <w:p w14:paraId="0E9C5E21" w14:textId="5AFD6F81" w:rsidR="00953330" w:rsidRPr="00CC2BB1" w:rsidRDefault="00953330" w:rsidP="00953330">
      <w:pPr>
        <w:spacing w:after="0" w:line="240" w:lineRule="auto"/>
        <w:rPr>
          <w:sz w:val="24"/>
          <w:szCs w:val="24"/>
        </w:rPr>
      </w:pPr>
      <w:r w:rsidRPr="00CC2BB1">
        <w:rPr>
          <w:sz w:val="24"/>
          <w:szCs w:val="24"/>
        </w:rPr>
        <w:t xml:space="preserve">2. The flow of medical information through </w:t>
      </w:r>
      <w:r w:rsidR="007E1697" w:rsidRPr="00CC2BB1">
        <w:rPr>
          <w:sz w:val="24"/>
          <w:szCs w:val="24"/>
        </w:rPr>
        <w:t>traditional journalism</w:t>
      </w:r>
      <w:r w:rsidRPr="00CC2BB1">
        <w:rPr>
          <w:sz w:val="24"/>
          <w:szCs w:val="24"/>
        </w:rPr>
        <w:t xml:space="preserve"> </w:t>
      </w:r>
    </w:p>
    <w:p w14:paraId="2CBD9C63" w14:textId="068D1D00" w:rsidR="00953330" w:rsidRPr="00CC2BB1" w:rsidRDefault="00953330" w:rsidP="0095333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C2BB1">
        <w:rPr>
          <w:sz w:val="24"/>
          <w:szCs w:val="24"/>
        </w:rPr>
        <w:t>The accuracy of press releases in representing study validity and conclusions</w:t>
      </w:r>
    </w:p>
    <w:p w14:paraId="78539740" w14:textId="47AB84D9" w:rsidR="00953330" w:rsidRPr="00CC2BB1" w:rsidRDefault="00953330" w:rsidP="0095333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C2BB1">
        <w:rPr>
          <w:sz w:val="24"/>
          <w:szCs w:val="24"/>
        </w:rPr>
        <w:t xml:space="preserve">The effect of the content of a press release on its dissemination </w:t>
      </w:r>
    </w:p>
    <w:p w14:paraId="1A1462A2" w14:textId="0E4265D7" w:rsidR="007E1697" w:rsidRPr="00CC2BB1" w:rsidRDefault="007E1697" w:rsidP="0095333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C2BB1">
        <w:rPr>
          <w:sz w:val="24"/>
          <w:szCs w:val="24"/>
        </w:rPr>
        <w:t>Sources of medical information used by journalists</w:t>
      </w:r>
    </w:p>
    <w:p w14:paraId="1189D312" w14:textId="1CB3B488" w:rsidR="00953330" w:rsidRPr="00CC2BB1" w:rsidRDefault="00953330" w:rsidP="0095333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C2BB1">
        <w:rPr>
          <w:sz w:val="24"/>
          <w:szCs w:val="24"/>
        </w:rPr>
        <w:t xml:space="preserve">The flow of medical information to the public. </w:t>
      </w:r>
    </w:p>
    <w:p w14:paraId="6F730359" w14:textId="65BC37A8" w:rsidR="00953330" w:rsidRPr="00CC2BB1" w:rsidRDefault="00953330" w:rsidP="0095333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2BB1">
        <w:rPr>
          <w:sz w:val="24"/>
          <w:szCs w:val="24"/>
        </w:rPr>
        <w:t>Assessment</w:t>
      </w:r>
      <w:r w:rsidR="001722EF" w:rsidRPr="00CC2BB1">
        <w:rPr>
          <w:sz w:val="24"/>
          <w:szCs w:val="24"/>
        </w:rPr>
        <w:t xml:space="preserve"> of how patients obtain</w:t>
      </w:r>
      <w:r w:rsidRPr="00CC2BB1">
        <w:rPr>
          <w:sz w:val="24"/>
          <w:szCs w:val="24"/>
        </w:rPr>
        <w:t xml:space="preserve"> medical </w:t>
      </w:r>
      <w:r w:rsidR="001722EF" w:rsidRPr="00CC2BB1">
        <w:rPr>
          <w:sz w:val="24"/>
          <w:szCs w:val="24"/>
        </w:rPr>
        <w:t xml:space="preserve">content and variation </w:t>
      </w:r>
      <w:r w:rsidRPr="00CC2BB1">
        <w:rPr>
          <w:sz w:val="24"/>
          <w:szCs w:val="24"/>
        </w:rPr>
        <w:t>by region of the country, literacy, cultural content, and access to technology</w:t>
      </w:r>
    </w:p>
    <w:p w14:paraId="2A5454CF" w14:textId="244990E5" w:rsidR="00953330" w:rsidRPr="00CC2BB1" w:rsidRDefault="00953330" w:rsidP="0095333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2BB1">
        <w:rPr>
          <w:sz w:val="24"/>
          <w:szCs w:val="24"/>
        </w:rPr>
        <w:t>Methods to improve dissemination and up</w:t>
      </w:r>
      <w:r w:rsidR="00082403" w:rsidRPr="00CC2BB1">
        <w:rPr>
          <w:sz w:val="24"/>
          <w:szCs w:val="24"/>
        </w:rPr>
        <w:t>take</w:t>
      </w:r>
      <w:r w:rsidRPr="00CC2BB1">
        <w:rPr>
          <w:sz w:val="24"/>
          <w:szCs w:val="24"/>
        </w:rPr>
        <w:t xml:space="preserve"> of medical information to a diverse audience</w:t>
      </w:r>
    </w:p>
    <w:p w14:paraId="088C922B" w14:textId="1BB6CF58" w:rsidR="00953330" w:rsidRPr="00CC2BB1" w:rsidRDefault="00953330" w:rsidP="0095333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2BB1">
        <w:rPr>
          <w:sz w:val="24"/>
          <w:szCs w:val="24"/>
        </w:rPr>
        <w:t xml:space="preserve">Methods to direct </w:t>
      </w:r>
      <w:r w:rsidR="00082403" w:rsidRPr="00CC2BB1">
        <w:rPr>
          <w:sz w:val="24"/>
          <w:szCs w:val="24"/>
        </w:rPr>
        <w:t xml:space="preserve">internet </w:t>
      </w:r>
      <w:r w:rsidRPr="00CC2BB1">
        <w:rPr>
          <w:sz w:val="24"/>
          <w:szCs w:val="24"/>
        </w:rPr>
        <w:t xml:space="preserve">searches </w:t>
      </w:r>
      <w:r w:rsidR="00082403" w:rsidRPr="00CC2BB1">
        <w:rPr>
          <w:sz w:val="24"/>
          <w:szCs w:val="24"/>
        </w:rPr>
        <w:t xml:space="preserve">and social media </w:t>
      </w:r>
      <w:r w:rsidRPr="00CC2BB1">
        <w:rPr>
          <w:sz w:val="24"/>
          <w:szCs w:val="24"/>
        </w:rPr>
        <w:t>toward scientifically accurate medical information</w:t>
      </w:r>
    </w:p>
    <w:p w14:paraId="5EDB31BC" w14:textId="204659FF" w:rsidR="00B06407" w:rsidRPr="00CC2BB1" w:rsidRDefault="00953330" w:rsidP="000F4702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2BB1">
        <w:rPr>
          <w:sz w:val="24"/>
          <w:szCs w:val="24"/>
        </w:rPr>
        <w:t>Strategies to help clinicians respond to patient’s misperceptions that are guided by misinformation</w:t>
      </w:r>
    </w:p>
    <w:p w14:paraId="45F74123" w14:textId="77777777" w:rsidR="00E5265D" w:rsidRPr="00CC2BB1" w:rsidRDefault="00E5265D" w:rsidP="00E5265D">
      <w:pPr>
        <w:spacing w:after="0" w:line="240" w:lineRule="auto"/>
        <w:ind w:left="720"/>
        <w:rPr>
          <w:sz w:val="24"/>
          <w:szCs w:val="24"/>
        </w:rPr>
      </w:pPr>
    </w:p>
    <w:p w14:paraId="4E6E681D" w14:textId="14CB4687" w:rsidR="00A45BDB" w:rsidRDefault="007A6138" w:rsidP="00A45BDB">
      <w:pPr>
        <w:rPr>
          <w:sz w:val="24"/>
          <w:szCs w:val="24"/>
        </w:rPr>
      </w:pPr>
      <w:r w:rsidRPr="00CC2BB1">
        <w:rPr>
          <w:sz w:val="24"/>
          <w:szCs w:val="24"/>
        </w:rPr>
        <w:t xml:space="preserve">Please also see </w:t>
      </w:r>
      <w:r w:rsidR="007E1697" w:rsidRPr="00CC2BB1">
        <w:rPr>
          <w:sz w:val="24"/>
          <w:szCs w:val="24"/>
        </w:rPr>
        <w:t xml:space="preserve">lectures from </w:t>
      </w:r>
      <w:r w:rsidR="00131184" w:rsidRPr="00CC2BB1">
        <w:rPr>
          <w:sz w:val="24"/>
          <w:szCs w:val="24"/>
        </w:rPr>
        <w:t>previous symposia</w:t>
      </w:r>
      <w:r w:rsidR="00CC2BB1" w:rsidRPr="00CC2BB1">
        <w:rPr>
          <w:sz w:val="24"/>
          <w:szCs w:val="24"/>
        </w:rPr>
        <w:t xml:space="preserve"> and a description of previous pilot award projects</w:t>
      </w:r>
      <w:r w:rsidRPr="00CC2BB1">
        <w:rPr>
          <w:sz w:val="24"/>
          <w:szCs w:val="24"/>
        </w:rPr>
        <w:t xml:space="preserve">: </w:t>
      </w:r>
      <w:r w:rsidR="00A45BDB" w:rsidRPr="00A45BDB">
        <w:t xml:space="preserve"> </w:t>
      </w:r>
      <w:hyperlink r:id="rId6" w:history="1">
        <w:r w:rsidR="00A45BDB" w:rsidRPr="00C4766E">
          <w:rPr>
            <w:rStyle w:val="Hyperlink"/>
            <w:sz w:val="24"/>
            <w:szCs w:val="24"/>
          </w:rPr>
          <w:t>https://www.med.upenn.edu/pmcri/request-for-abstracts.html</w:t>
        </w:r>
      </w:hyperlink>
    </w:p>
    <w:p w14:paraId="531F7A23" w14:textId="77777777" w:rsidR="00A45BDB" w:rsidRDefault="00A45BDB" w:rsidP="00A45BDB">
      <w:pPr>
        <w:rPr>
          <w:rFonts w:ascii="Calibri" w:hAnsi="Calibri" w:cs="Calibri"/>
          <w:b/>
          <w:bCs/>
        </w:rPr>
      </w:pPr>
    </w:p>
    <w:p w14:paraId="28104F9F" w14:textId="77777777" w:rsidR="00A45BDB" w:rsidRDefault="00A45BDB" w:rsidP="00A45BDB">
      <w:pPr>
        <w:rPr>
          <w:rFonts w:ascii="Calibri" w:hAnsi="Calibri" w:cs="Calibri"/>
          <w:b/>
          <w:bCs/>
        </w:rPr>
      </w:pPr>
    </w:p>
    <w:p w14:paraId="42AA4E2F" w14:textId="799D714B" w:rsidR="001E59CC" w:rsidRPr="00CC2BB1" w:rsidRDefault="001E59CC" w:rsidP="00A45BDB">
      <w:pPr>
        <w:rPr>
          <w:rFonts w:ascii="Calibri" w:hAnsi="Calibri" w:cs="Calibri"/>
          <w:b/>
          <w:bCs/>
        </w:rPr>
      </w:pPr>
      <w:r w:rsidRPr="00CC2BB1">
        <w:rPr>
          <w:rFonts w:ascii="Calibri" w:hAnsi="Calibri" w:cs="Calibri"/>
          <w:b/>
          <w:bCs/>
        </w:rPr>
        <w:lastRenderedPageBreak/>
        <w:t>Important Dates:</w:t>
      </w:r>
    </w:p>
    <w:p w14:paraId="1A863838" w14:textId="41E8B418" w:rsidR="001E59CC" w:rsidRPr="00CC2BB1" w:rsidRDefault="001E59CC" w:rsidP="001E59C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CC2BB1">
        <w:rPr>
          <w:rFonts w:ascii="Calibri" w:hAnsi="Calibri" w:cs="Calibri"/>
        </w:rPr>
        <w:t xml:space="preserve">Initial phase: Project title, faculty names with affiliations, and 250 word abstract emailed to </w:t>
      </w:r>
      <w:proofErr w:type="spellStart"/>
      <w:r w:rsidRPr="00CC2BB1">
        <w:rPr>
          <w:rFonts w:ascii="Calibri" w:hAnsi="Calibri" w:cs="Calibri"/>
        </w:rPr>
        <w:t>Enjoli</w:t>
      </w:r>
      <w:proofErr w:type="spellEnd"/>
      <w:r w:rsidRPr="00CC2BB1">
        <w:rPr>
          <w:rFonts w:ascii="Calibri" w:hAnsi="Calibri" w:cs="Calibri"/>
        </w:rPr>
        <w:t xml:space="preserve"> Barnes at </w:t>
      </w:r>
      <w:hyperlink r:id="rId7" w:history="1">
        <w:r w:rsidRPr="00CC2BB1">
          <w:rPr>
            <w:rStyle w:val="Hyperlink"/>
            <w:rFonts w:ascii="Calibri" w:hAnsi="Calibri" w:cs="Calibri"/>
          </w:rPr>
          <w:t>Enjoli.Barnes@pennmedicine.upenn.edu</w:t>
        </w:r>
      </w:hyperlink>
      <w:r w:rsidRPr="00CC2BB1">
        <w:rPr>
          <w:rFonts w:ascii="Calibri" w:hAnsi="Calibri" w:cs="Calibri"/>
        </w:rPr>
        <w:t xml:space="preserve"> by </w:t>
      </w:r>
      <w:r w:rsidRPr="00CC2BB1">
        <w:rPr>
          <w:rFonts w:ascii="Calibri" w:hAnsi="Calibri" w:cs="Calibri"/>
          <w:b/>
          <w:bCs/>
        </w:rPr>
        <w:t>5 pm</w:t>
      </w:r>
      <w:r w:rsidR="002D1125">
        <w:rPr>
          <w:rFonts w:ascii="Calibri" w:hAnsi="Calibri" w:cs="Calibri"/>
          <w:b/>
          <w:bCs/>
        </w:rPr>
        <w:t>,</w:t>
      </w:r>
      <w:r w:rsidRPr="00CC2BB1">
        <w:rPr>
          <w:rFonts w:ascii="Calibri" w:hAnsi="Calibri" w:cs="Calibri"/>
          <w:b/>
          <w:bCs/>
        </w:rPr>
        <w:t xml:space="preserve"> November 1</w:t>
      </w:r>
      <w:r w:rsidR="00131184" w:rsidRPr="00CC2BB1">
        <w:rPr>
          <w:rFonts w:ascii="Calibri" w:hAnsi="Calibri" w:cs="Calibri"/>
          <w:b/>
          <w:bCs/>
        </w:rPr>
        <w:t>8</w:t>
      </w:r>
      <w:r w:rsidRPr="00CC2BB1">
        <w:rPr>
          <w:rFonts w:ascii="Calibri" w:hAnsi="Calibri" w:cs="Calibri"/>
          <w:b/>
          <w:bCs/>
        </w:rPr>
        <w:t>, 202</w:t>
      </w:r>
      <w:r w:rsidR="00131184" w:rsidRPr="00CC2BB1">
        <w:rPr>
          <w:rFonts w:ascii="Calibri" w:hAnsi="Calibri" w:cs="Calibri"/>
          <w:b/>
          <w:bCs/>
        </w:rPr>
        <w:t>2</w:t>
      </w:r>
      <w:r w:rsidRPr="00CC2BB1">
        <w:rPr>
          <w:rFonts w:ascii="Calibri" w:hAnsi="Calibri" w:cs="Calibri"/>
        </w:rPr>
        <w:t>.</w:t>
      </w:r>
    </w:p>
    <w:p w14:paraId="2A277956" w14:textId="79780A95" w:rsidR="001E59CC" w:rsidRPr="00CC2BB1" w:rsidRDefault="001E59CC" w:rsidP="001E59CC">
      <w:pPr>
        <w:pStyle w:val="NormalWeb"/>
        <w:rPr>
          <w:rFonts w:ascii="Calibri" w:hAnsi="Calibri" w:cs="Calibri"/>
        </w:rPr>
      </w:pPr>
      <w:r w:rsidRPr="00CC2BB1">
        <w:rPr>
          <w:rFonts w:ascii="Calibri" w:hAnsi="Calibri" w:cs="Calibri"/>
        </w:rPr>
        <w:t xml:space="preserve">Second phase: Submission of a 2-page application with </w:t>
      </w:r>
      <w:proofErr w:type="spellStart"/>
      <w:r w:rsidRPr="00CC2BB1">
        <w:rPr>
          <w:rFonts w:ascii="Calibri" w:hAnsi="Calibri" w:cs="Calibri"/>
        </w:rPr>
        <w:t>biosketches</w:t>
      </w:r>
      <w:proofErr w:type="spellEnd"/>
      <w:r w:rsidRPr="00CC2BB1">
        <w:rPr>
          <w:rFonts w:ascii="Calibri" w:hAnsi="Calibri" w:cs="Calibri"/>
        </w:rPr>
        <w:t xml:space="preserve"> and a budget will be requested in a subset, for submission by </w:t>
      </w:r>
      <w:r w:rsidRPr="00CC2BB1">
        <w:rPr>
          <w:rFonts w:ascii="Calibri" w:hAnsi="Calibri" w:cs="Calibri"/>
          <w:b/>
          <w:bCs/>
        </w:rPr>
        <w:t>December 1</w:t>
      </w:r>
      <w:r w:rsidR="00131184" w:rsidRPr="00CC2BB1">
        <w:rPr>
          <w:rFonts w:ascii="Calibri" w:hAnsi="Calibri" w:cs="Calibri"/>
          <w:b/>
          <w:bCs/>
        </w:rPr>
        <w:t>6</w:t>
      </w:r>
      <w:r w:rsidRPr="00CC2BB1">
        <w:rPr>
          <w:rFonts w:ascii="Calibri" w:hAnsi="Calibri" w:cs="Calibri"/>
          <w:b/>
          <w:bCs/>
        </w:rPr>
        <w:t>, 202</w:t>
      </w:r>
      <w:r w:rsidR="00131184" w:rsidRPr="00CC2BB1">
        <w:rPr>
          <w:rFonts w:ascii="Calibri" w:hAnsi="Calibri" w:cs="Calibri"/>
          <w:b/>
          <w:bCs/>
        </w:rPr>
        <w:t>2.</w:t>
      </w:r>
    </w:p>
    <w:p w14:paraId="276E045E" w14:textId="06AB695F" w:rsidR="001E59CC" w:rsidRPr="00CC2BB1" w:rsidRDefault="001E59CC" w:rsidP="00CC2BB1">
      <w:pPr>
        <w:pStyle w:val="NormalWeb"/>
        <w:rPr>
          <w:rFonts w:ascii="Calibri" w:hAnsi="Calibri" w:cs="Calibri"/>
        </w:rPr>
      </w:pPr>
      <w:r w:rsidRPr="00CC2BB1">
        <w:rPr>
          <w:rFonts w:ascii="Calibri" w:hAnsi="Calibri" w:cs="Calibri"/>
        </w:rPr>
        <w:t xml:space="preserve">Award Start date: </w:t>
      </w:r>
      <w:r w:rsidRPr="00CC2BB1">
        <w:rPr>
          <w:rFonts w:ascii="Calibri" w:hAnsi="Calibri" w:cs="Calibri"/>
          <w:b/>
          <w:bCs/>
        </w:rPr>
        <w:t>February 1, 202</w:t>
      </w:r>
      <w:r w:rsidR="00131184" w:rsidRPr="00CC2BB1">
        <w:rPr>
          <w:rFonts w:ascii="Calibri" w:hAnsi="Calibri" w:cs="Calibri"/>
          <w:b/>
          <w:bCs/>
        </w:rPr>
        <w:t>3</w:t>
      </w:r>
    </w:p>
    <w:sectPr w:rsidR="001E59CC" w:rsidRPr="00CC2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9DD"/>
    <w:multiLevelType w:val="hybridMultilevel"/>
    <w:tmpl w:val="401020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98E9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D46D7A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6AA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70B2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AE4238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E4881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16286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20FD4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1D8107C"/>
    <w:multiLevelType w:val="hybridMultilevel"/>
    <w:tmpl w:val="47562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A3AD6"/>
    <w:multiLevelType w:val="multilevel"/>
    <w:tmpl w:val="CC90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A534C"/>
    <w:multiLevelType w:val="hybridMultilevel"/>
    <w:tmpl w:val="C518D126"/>
    <w:lvl w:ilvl="0" w:tplc="593240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6DE3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78E9B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3221C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969F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42852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9622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8F4FBE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5E6086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AA1765F"/>
    <w:multiLevelType w:val="hybridMultilevel"/>
    <w:tmpl w:val="B59CBFF6"/>
    <w:lvl w:ilvl="0" w:tplc="E9E6AA5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9BA220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154DADE" w:tentative="1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25A5336" w:tentative="1">
      <w:start w:val="1"/>
      <w:numFmt w:val="bullet"/>
      <w:lvlText w:val="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913AD384" w:tentative="1">
      <w:start w:val="1"/>
      <w:numFmt w:val="bullet"/>
      <w:lvlText w:val="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A8CB3CC" w:tentative="1">
      <w:start w:val="1"/>
      <w:numFmt w:val="bullet"/>
      <w:lvlText w:val="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AD09F40" w:tentative="1">
      <w:start w:val="1"/>
      <w:numFmt w:val="bullet"/>
      <w:lvlText w:val="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012D590" w:tentative="1">
      <w:start w:val="1"/>
      <w:numFmt w:val="bullet"/>
      <w:lvlText w:val="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8F80A42A" w:tentative="1">
      <w:start w:val="1"/>
      <w:numFmt w:val="bullet"/>
      <w:lvlText w:val="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02EA5"/>
    <w:multiLevelType w:val="hybridMultilevel"/>
    <w:tmpl w:val="3AD6AFC0"/>
    <w:lvl w:ilvl="0" w:tplc="E9E6AA5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8E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46D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A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0B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42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88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286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20F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990C27"/>
    <w:multiLevelType w:val="hybridMultilevel"/>
    <w:tmpl w:val="BBD2F3D0"/>
    <w:lvl w:ilvl="0" w:tplc="04C07FA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9C911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CB35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2A2D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0A67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88A9D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6A56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62E6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6A43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4059292">
    <w:abstractNumId w:val="0"/>
  </w:num>
  <w:num w:numId="2" w16cid:durableId="742332306">
    <w:abstractNumId w:val="4"/>
  </w:num>
  <w:num w:numId="3" w16cid:durableId="1408452054">
    <w:abstractNumId w:val="3"/>
  </w:num>
  <w:num w:numId="4" w16cid:durableId="1681809937">
    <w:abstractNumId w:val="6"/>
  </w:num>
  <w:num w:numId="5" w16cid:durableId="697895121">
    <w:abstractNumId w:val="1"/>
  </w:num>
  <w:num w:numId="6" w16cid:durableId="1448085188">
    <w:abstractNumId w:val="2"/>
  </w:num>
  <w:num w:numId="7" w16cid:durableId="2029793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02"/>
    <w:rsid w:val="00082403"/>
    <w:rsid w:val="000F4702"/>
    <w:rsid w:val="00131184"/>
    <w:rsid w:val="001722EF"/>
    <w:rsid w:val="001E59CC"/>
    <w:rsid w:val="002D1125"/>
    <w:rsid w:val="0049186E"/>
    <w:rsid w:val="00597211"/>
    <w:rsid w:val="006E4EB0"/>
    <w:rsid w:val="006F7582"/>
    <w:rsid w:val="007A6138"/>
    <w:rsid w:val="007E1697"/>
    <w:rsid w:val="00953330"/>
    <w:rsid w:val="00A16A61"/>
    <w:rsid w:val="00A45BDB"/>
    <w:rsid w:val="00B06407"/>
    <w:rsid w:val="00CA546F"/>
    <w:rsid w:val="00CC2BB1"/>
    <w:rsid w:val="00CD140D"/>
    <w:rsid w:val="00D547D9"/>
    <w:rsid w:val="00E5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87559"/>
  <w15:chartTrackingRefBased/>
  <w15:docId w15:val="{30476BAF-3E4D-487C-8D11-A5F7E0DC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70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F47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64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33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1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1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18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7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172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992">
          <w:marLeft w:val="38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632">
          <w:marLeft w:val="38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138">
          <w:marLeft w:val="103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217">
          <w:marLeft w:val="103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175">
          <w:marLeft w:val="38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191">
          <w:marLeft w:val="38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175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18">
          <w:marLeft w:val="38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753">
          <w:marLeft w:val="38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567">
          <w:marLeft w:val="38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653">
          <w:marLeft w:val="38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310">
          <w:marLeft w:val="38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joli.Barnes@pennmedicine.upe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.upenn.edu/pmcri/request-for-abstract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Cappola, Anne</dc:creator>
  <cp:keywords/>
  <dc:description/>
  <cp:lastModifiedBy>Cohen, Karthika S</cp:lastModifiedBy>
  <cp:revision>4</cp:revision>
  <dcterms:created xsi:type="dcterms:W3CDTF">2022-10-25T18:52:00Z</dcterms:created>
  <dcterms:modified xsi:type="dcterms:W3CDTF">2022-10-25T19:48:00Z</dcterms:modified>
</cp:coreProperties>
</file>